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B9CE2" w14:textId="6F8E405F" w:rsidR="00091876" w:rsidRPr="0052548E" w:rsidRDefault="00091876" w:rsidP="00091876">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#92</w:t>
      </w:r>
      <w:r>
        <w:rPr>
          <w:rFonts w:cs="Arial"/>
          <w:b/>
          <w:bCs/>
          <w:sz w:val="28"/>
        </w:rPr>
        <w:tab/>
      </w:r>
      <w:r>
        <w:rPr>
          <w:rFonts w:cs="Arial"/>
          <w:b/>
          <w:bCs/>
          <w:sz w:val="28"/>
        </w:rPr>
        <w:tab/>
      </w:r>
      <w:r>
        <w:rPr>
          <w:rFonts w:cs="Arial"/>
          <w:b/>
          <w:bCs/>
          <w:sz w:val="28"/>
        </w:rPr>
        <w:tab/>
      </w:r>
      <w:r w:rsidR="00E0526B" w:rsidRPr="00E0526B">
        <w:rPr>
          <w:rFonts w:cs="Arial"/>
          <w:b/>
          <w:bCs/>
          <w:sz w:val="28"/>
        </w:rPr>
        <w:t>R1-1802607</w:t>
      </w:r>
      <w:bookmarkStart w:id="0" w:name="_GoBack"/>
      <w:bookmarkEnd w:id="0"/>
    </w:p>
    <w:p w14:paraId="1BAE679E" w14:textId="77777777" w:rsidR="00091876" w:rsidRPr="009513AC" w:rsidRDefault="00091876" w:rsidP="00091876">
      <w:pPr>
        <w:tabs>
          <w:tab w:val="center" w:pos="4536"/>
          <w:tab w:val="right" w:pos="9072"/>
        </w:tabs>
        <w:rPr>
          <w:rFonts w:eastAsia="MS Mincho" w:cs="Arial"/>
          <w:b/>
          <w:bCs/>
          <w:sz w:val="28"/>
          <w:lang w:eastAsia="ja-JP"/>
        </w:rPr>
      </w:pPr>
      <w:r>
        <w:rPr>
          <w:rFonts w:eastAsia="MS Mincho" w:cs="Arial"/>
          <w:b/>
          <w:bCs/>
          <w:sz w:val="28"/>
          <w:lang w:eastAsia="ja-JP"/>
        </w:rPr>
        <w:t>Athens, Greece, February 26</w:t>
      </w:r>
      <w:r w:rsidRPr="004D56C7">
        <w:rPr>
          <w:rFonts w:eastAsia="MS Mincho" w:cs="Arial"/>
          <w:b/>
          <w:bCs/>
          <w:sz w:val="28"/>
          <w:vertAlign w:val="superscript"/>
          <w:lang w:eastAsia="ja-JP"/>
        </w:rPr>
        <w:t>th</w:t>
      </w:r>
      <w:r>
        <w:rPr>
          <w:rFonts w:eastAsia="MS Mincho" w:cs="Arial"/>
          <w:b/>
          <w:bCs/>
          <w:sz w:val="28"/>
          <w:lang w:eastAsia="ja-JP"/>
        </w:rPr>
        <w:t xml:space="preserve"> – March 2</w:t>
      </w:r>
      <w:r w:rsidRPr="004D56C7">
        <w:rPr>
          <w:rFonts w:eastAsia="MS Mincho" w:cs="Arial"/>
          <w:b/>
          <w:bCs/>
          <w:sz w:val="28"/>
          <w:vertAlign w:val="superscript"/>
          <w:lang w:eastAsia="ja-JP"/>
        </w:rPr>
        <w:t>nd</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5AF13873"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1" w:name="Source"/>
      <w:bookmarkEnd w:id="1"/>
      <w:r w:rsidR="00091876">
        <w:rPr>
          <w:b/>
          <w:sz w:val="24"/>
          <w:szCs w:val="24"/>
        </w:rPr>
        <w:t>7.5.1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EA51D43"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091876" w:rsidRPr="00091876">
        <w:rPr>
          <w:b/>
          <w:sz w:val="24"/>
          <w:szCs w:val="24"/>
        </w:rPr>
        <w:t>Evaluation Scenarios for NR V2X</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126AF82" w14:textId="195F0DCD" w:rsidR="006C7299" w:rsidRPr="00E34E85" w:rsidRDefault="007C73C8" w:rsidP="006C7299">
      <w:pPr>
        <w:spacing w:before="120"/>
        <w:rPr>
          <w:rFonts w:ascii="Calibri" w:hAnsi="Calibri"/>
        </w:rPr>
      </w:pPr>
      <w:r>
        <w:rPr>
          <w:rFonts w:ascii="Calibri" w:hAnsi="Calibri"/>
        </w:rPr>
        <w:t>NR V2X study ite</w:t>
      </w:r>
      <w:r w:rsidR="006C7299">
        <w:rPr>
          <w:rFonts w:ascii="Calibri" w:hAnsi="Calibri"/>
        </w:rPr>
        <w:t xml:space="preserve">m has been approved by plenary, </w:t>
      </w:r>
      <w:r w:rsidR="006C7299" w:rsidRPr="00E34E85">
        <w:rPr>
          <w:rFonts w:ascii="Calibri" w:hAnsi="Calibri" w:hint="eastAsia"/>
        </w:rPr>
        <w:t>SA1 ha</w:t>
      </w:r>
      <w:r w:rsidR="006C7299" w:rsidRPr="00E34E85">
        <w:rPr>
          <w:rFonts w:ascii="Calibri" w:hAnsi="Calibri"/>
        </w:rPr>
        <w:t>s</w:t>
      </w:r>
      <w:r w:rsidR="006C7299" w:rsidRPr="00E34E85">
        <w:rPr>
          <w:rFonts w:ascii="Calibri" w:hAnsi="Calibri" w:hint="eastAsia"/>
        </w:rPr>
        <w:t xml:space="preserve"> </w:t>
      </w:r>
      <w:r w:rsidR="006C7299" w:rsidRPr="00E34E85">
        <w:rPr>
          <w:rFonts w:ascii="Calibri" w:hAnsi="Calibri"/>
        </w:rPr>
        <w:t xml:space="preserve">identified </w:t>
      </w:r>
      <w:r w:rsidR="006C7299" w:rsidRPr="00E34E85">
        <w:rPr>
          <w:rFonts w:ascii="Calibri" w:hAnsi="Calibri" w:hint="eastAsia"/>
        </w:rPr>
        <w:t>25</w:t>
      </w:r>
      <w:r w:rsidR="006C7299" w:rsidRPr="00E34E85">
        <w:rPr>
          <w:rFonts w:ascii="Calibri" w:hAnsi="Calibri"/>
        </w:rPr>
        <w:t xml:space="preserve"> use cases for advanced V2X services</w:t>
      </w:r>
      <w:r w:rsidR="006C7299" w:rsidRPr="00E34E85">
        <w:rPr>
          <w:rFonts w:ascii="Calibri" w:hAnsi="Calibri" w:hint="eastAsia"/>
        </w:rPr>
        <w:t xml:space="preserve"> and they are categorized into four use case groups: v</w:t>
      </w:r>
      <w:r w:rsidR="006C7299" w:rsidRPr="00E34E85">
        <w:rPr>
          <w:rFonts w:ascii="Calibri" w:hAnsi="Calibri"/>
        </w:rPr>
        <w:t xml:space="preserve">ehicles </w:t>
      </w:r>
      <w:r w:rsidR="006C7299" w:rsidRPr="00E34E85">
        <w:rPr>
          <w:rFonts w:ascii="Calibri" w:hAnsi="Calibri" w:hint="eastAsia"/>
        </w:rPr>
        <w:t xml:space="preserve">platooning, extended sensors, advanced driving and remote driving. The </w:t>
      </w:r>
      <w:r w:rsidR="006C7299" w:rsidRPr="00E34E85">
        <w:rPr>
          <w:rFonts w:ascii="Calibri" w:hAnsi="Calibri"/>
        </w:rPr>
        <w:t>detailed</w:t>
      </w:r>
      <w:r w:rsidR="006C7299" w:rsidRPr="00E34E85">
        <w:rPr>
          <w:rFonts w:ascii="Calibri" w:hAnsi="Calibri" w:hint="eastAsia"/>
        </w:rPr>
        <w:t xml:space="preserve"> description of each use case group is provided as below. </w:t>
      </w:r>
    </w:p>
    <w:p w14:paraId="74280F8D" w14:textId="77777777" w:rsidR="006C7299" w:rsidRPr="00E34E85" w:rsidRDefault="006C7299" w:rsidP="006C7299">
      <w:pPr>
        <w:numPr>
          <w:ilvl w:val="0"/>
          <w:numId w:val="9"/>
        </w:numPr>
        <w:overflowPunct w:val="0"/>
        <w:autoSpaceDE w:val="0"/>
        <w:autoSpaceDN w:val="0"/>
        <w:adjustRightInd w:val="0"/>
        <w:spacing w:before="0" w:after="180"/>
        <w:jc w:val="left"/>
        <w:textAlignment w:val="baseline"/>
        <w:rPr>
          <w:rFonts w:asciiTheme="minorHAnsi" w:hAnsiTheme="minorHAnsi"/>
          <w:lang w:val="nl-NL" w:eastAsia="zh-CN"/>
        </w:rPr>
      </w:pPr>
      <w:r w:rsidRPr="00E34E85">
        <w:rPr>
          <w:rFonts w:asciiTheme="minorHAnsi" w:hAnsiTheme="minorHAnsi"/>
          <w:b/>
          <w:lang w:val="nl-NL" w:eastAsia="zh-CN"/>
        </w:rPr>
        <w:t>Vehicles Platoonning</w:t>
      </w:r>
      <w:r w:rsidRPr="00E34E85">
        <w:rPr>
          <w:rFonts w:asciiTheme="minorHAnsi" w:hAnsiTheme="minorHAnsi"/>
          <w:lang w:val="nl-NL" w:eastAsia="zh-CN"/>
        </w:rPr>
        <w:t xml:space="preserve">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FE981D8" w14:textId="77777777" w:rsidR="006C7299" w:rsidRPr="00E34E85" w:rsidRDefault="006C7299" w:rsidP="006C7299">
      <w:pPr>
        <w:numPr>
          <w:ilvl w:val="0"/>
          <w:numId w:val="9"/>
        </w:numPr>
        <w:overflowPunct w:val="0"/>
        <w:autoSpaceDE w:val="0"/>
        <w:autoSpaceDN w:val="0"/>
        <w:adjustRightInd w:val="0"/>
        <w:spacing w:before="0" w:after="180"/>
        <w:jc w:val="left"/>
        <w:textAlignment w:val="baseline"/>
        <w:rPr>
          <w:rFonts w:asciiTheme="minorHAnsi" w:hAnsiTheme="minorHAnsi"/>
          <w:lang w:val="nl-NL" w:eastAsia="zh-CN"/>
        </w:rPr>
      </w:pPr>
      <w:r w:rsidRPr="00E34E85">
        <w:rPr>
          <w:rFonts w:asciiTheme="minorHAnsi" w:hAnsiTheme="minorHAnsi"/>
          <w:b/>
          <w:lang w:val="nl-NL" w:eastAsia="zh-CN"/>
        </w:rPr>
        <w:t>Extended Sensors</w:t>
      </w:r>
      <w:r w:rsidRPr="00E34E85">
        <w:rPr>
          <w:rFonts w:asciiTheme="minorHAnsi" w:hAnsiTheme="minorHAnsi"/>
          <w:lang w:val="nl-NL" w:eastAsia="zh-CN"/>
        </w:rPr>
        <w:t xml:space="preserve">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14:paraId="7C270B6A" w14:textId="77777777" w:rsidR="006C7299" w:rsidRPr="00E34E85" w:rsidRDefault="006C7299" w:rsidP="006C7299">
      <w:pPr>
        <w:numPr>
          <w:ilvl w:val="0"/>
          <w:numId w:val="9"/>
        </w:numPr>
        <w:overflowPunct w:val="0"/>
        <w:autoSpaceDE w:val="0"/>
        <w:autoSpaceDN w:val="0"/>
        <w:adjustRightInd w:val="0"/>
        <w:spacing w:before="0" w:after="180"/>
        <w:jc w:val="left"/>
        <w:textAlignment w:val="baseline"/>
        <w:rPr>
          <w:rFonts w:asciiTheme="minorHAnsi" w:hAnsiTheme="minorHAnsi"/>
        </w:rPr>
      </w:pPr>
      <w:r w:rsidRPr="00E34E85">
        <w:rPr>
          <w:rFonts w:asciiTheme="minorHAnsi" w:eastAsia="MS Mincho" w:hAnsiTheme="minorHAnsi"/>
          <w:b/>
          <w:lang w:eastAsia="ja-JP"/>
        </w:rPr>
        <w:t xml:space="preserve">Advanced </w:t>
      </w:r>
      <w:r w:rsidRPr="00E34E85">
        <w:rPr>
          <w:rFonts w:asciiTheme="minorHAnsi" w:eastAsia="SimSun" w:hAnsiTheme="minorHAnsi"/>
          <w:b/>
          <w:lang w:eastAsia="zh-CN"/>
        </w:rPr>
        <w:t>D</w:t>
      </w:r>
      <w:r w:rsidRPr="00E34E85">
        <w:rPr>
          <w:rFonts w:asciiTheme="minorHAnsi" w:eastAsia="MS Mincho" w:hAnsiTheme="minorHAnsi"/>
          <w:b/>
          <w:lang w:eastAsia="ja-JP"/>
        </w:rPr>
        <w:t>riving</w:t>
      </w:r>
      <w:r w:rsidRPr="00E34E85">
        <w:rPr>
          <w:rFonts w:asciiTheme="minorHAnsi" w:eastAsia="MS Mincho" w:hAnsiTheme="minorHAnsi"/>
          <w:lang w:eastAsia="ja-JP"/>
        </w:rPr>
        <w:t xml:space="preserve"> enables semi-automated or full-automated driving. E</w:t>
      </w:r>
      <w:r w:rsidRPr="00E34E85">
        <w:rPr>
          <w:rFonts w:asciiTheme="minorHAnsi" w:hAnsiTheme="minorHAnsi"/>
          <w:lang w:eastAsia="ja-JP"/>
        </w:rPr>
        <w:t>ach vehicle and/or RSU shares its own perception data obtained from its local sensors with vehicles in proximity</w:t>
      </w:r>
      <w:r w:rsidRPr="00E34E85">
        <w:rPr>
          <w:rFonts w:asciiTheme="minorHAnsi" w:eastAsia="MS Mincho" w:hAnsiTheme="minorHAnsi"/>
          <w:lang w:eastAsia="ja-JP"/>
        </w:rPr>
        <w:t xml:space="preserve"> and that allows vehicles to synchronize and coordinate their trajectories or manoeuvres</w:t>
      </w:r>
      <w:r w:rsidRPr="00E34E85">
        <w:rPr>
          <w:rFonts w:asciiTheme="minorHAnsi" w:hAnsiTheme="minorHAnsi"/>
          <w:lang w:eastAsia="ja-JP"/>
        </w:rPr>
        <w:t>.</w:t>
      </w:r>
      <w:r w:rsidRPr="00E34E85">
        <w:rPr>
          <w:rFonts w:asciiTheme="minorHAnsi" w:eastAsia="MS Mincho" w:hAnsiTheme="minorHAnsi"/>
          <w:lang w:eastAsia="ja-JP"/>
        </w:rPr>
        <w:t xml:space="preserve"> Each vehicle shares its driving intention with vehicles in proximity too. </w:t>
      </w:r>
    </w:p>
    <w:p w14:paraId="00EDDA72" w14:textId="77777777" w:rsidR="006C7299" w:rsidRPr="00E34E85" w:rsidRDefault="006C7299" w:rsidP="006C7299">
      <w:pPr>
        <w:numPr>
          <w:ilvl w:val="0"/>
          <w:numId w:val="9"/>
        </w:numPr>
        <w:overflowPunct w:val="0"/>
        <w:autoSpaceDE w:val="0"/>
        <w:autoSpaceDN w:val="0"/>
        <w:adjustRightInd w:val="0"/>
        <w:spacing w:before="0" w:after="180"/>
        <w:jc w:val="left"/>
        <w:textAlignment w:val="baseline"/>
        <w:rPr>
          <w:rFonts w:asciiTheme="minorHAnsi" w:eastAsia="SimSun" w:hAnsiTheme="minorHAnsi"/>
          <w:lang w:eastAsia="zh-CN"/>
        </w:rPr>
      </w:pPr>
      <w:r w:rsidRPr="00E34E85">
        <w:rPr>
          <w:rFonts w:asciiTheme="minorHAnsi" w:hAnsiTheme="minorHAnsi"/>
          <w:b/>
          <w:lang w:val="nl-NL" w:eastAsia="zh-CN"/>
        </w:rPr>
        <w:t xml:space="preserve">Remote Driving </w:t>
      </w:r>
      <w:r w:rsidRPr="00E34E85">
        <w:rPr>
          <w:rFonts w:asciiTheme="minorHAnsi" w:hAnsiTheme="minorHAnsi"/>
          <w:lang w:val="nl-NL" w:eastAsia="zh-CN"/>
        </w:rPr>
        <w:t>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3FE2017C" w14:textId="77777777" w:rsidR="006C7299" w:rsidRDefault="006C7299" w:rsidP="005852D8">
      <w:pPr>
        <w:pStyle w:val="maintext"/>
        <w:ind w:firstLineChars="0" w:firstLine="0"/>
        <w:rPr>
          <w:rFonts w:ascii="Calibri" w:hAnsi="Calibri"/>
          <w:lang w:val="en-US"/>
        </w:rPr>
      </w:pPr>
    </w:p>
    <w:p w14:paraId="7E5011EA" w14:textId="0397517A" w:rsidR="009052CA" w:rsidRDefault="007C73C8" w:rsidP="005852D8">
      <w:pPr>
        <w:pStyle w:val="maintext"/>
        <w:ind w:firstLineChars="0" w:firstLine="0"/>
        <w:rPr>
          <w:rFonts w:ascii="Calibri" w:hAnsi="Calibri"/>
        </w:rPr>
      </w:pPr>
      <w:r>
        <w:rPr>
          <w:rFonts w:ascii="Calibri" w:hAnsi="Calibri"/>
        </w:rPr>
        <w:t xml:space="preserve">In this paper, we give our consideration on the </w:t>
      </w:r>
      <w:r w:rsidR="003044B6">
        <w:rPr>
          <w:rFonts w:ascii="Calibri" w:hAnsi="Calibri"/>
        </w:rPr>
        <w:t xml:space="preserve">evaluation </w:t>
      </w:r>
      <w:r w:rsidR="00A96984">
        <w:rPr>
          <w:rFonts w:ascii="Calibri" w:hAnsi="Calibri"/>
        </w:rPr>
        <w:t>assumption</w:t>
      </w:r>
      <w:r>
        <w:rPr>
          <w:rFonts w:ascii="Calibri" w:hAnsi="Calibri"/>
        </w:rPr>
        <w:t xml:space="preserve"> for NR V2X study. </w:t>
      </w:r>
    </w:p>
    <w:p w14:paraId="3FBBA387" w14:textId="77777777" w:rsidR="006C7299" w:rsidRDefault="006C7299" w:rsidP="005852D8">
      <w:pPr>
        <w:pStyle w:val="maintext"/>
        <w:ind w:firstLineChars="0" w:firstLine="0"/>
        <w:rPr>
          <w:rFonts w:ascii="Calibri" w:hAnsi="Calibri"/>
        </w:rPr>
      </w:pPr>
    </w:p>
    <w:p w14:paraId="1739669D" w14:textId="25F83959" w:rsidR="00093CB4" w:rsidRPr="006545A3" w:rsidRDefault="00D020B4"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Scenarios for NR V2X evaluation</w:t>
      </w:r>
    </w:p>
    <w:p w14:paraId="0C143B6B" w14:textId="2C143AA6" w:rsidR="00DA2412" w:rsidRDefault="00D020B4" w:rsidP="00ED19D1">
      <w:pPr>
        <w:pStyle w:val="maintext"/>
        <w:ind w:firstLineChars="0" w:firstLine="0"/>
        <w:rPr>
          <w:rFonts w:ascii="Calibri" w:hAnsi="Calibri"/>
        </w:rPr>
      </w:pPr>
      <w:r w:rsidRPr="00D020B4">
        <w:rPr>
          <w:rFonts w:ascii="Calibri" w:hAnsi="Calibri"/>
        </w:rPr>
        <w:t xml:space="preserve">In </w:t>
      </w:r>
      <w:r w:rsidR="00ED19D1">
        <w:rPr>
          <w:rFonts w:ascii="Calibri" w:hAnsi="Calibri"/>
        </w:rPr>
        <w:t xml:space="preserve">LTE V2X has conducted extensive evaluate the performance of several scenarios including urban case and freeway case. </w:t>
      </w:r>
      <w:r w:rsidR="00B55A9E">
        <w:rPr>
          <w:rFonts w:ascii="Calibri" w:hAnsi="Calibri"/>
        </w:rPr>
        <w:t>T</w:t>
      </w:r>
      <w:r w:rsidR="00ED19D1">
        <w:rPr>
          <w:rFonts w:ascii="Calibri" w:hAnsi="Calibri"/>
        </w:rPr>
        <w:t>he bellow figure illustrates this two evaluation scenarios.</w:t>
      </w:r>
      <w:r w:rsidR="00B55A9E">
        <w:rPr>
          <w:rFonts w:ascii="Calibri" w:hAnsi="Calibri"/>
        </w:rPr>
        <w:t xml:space="preserve"> We propose to reuse the scenario setting from TR36.885. </w:t>
      </w:r>
    </w:p>
    <w:p w14:paraId="4F48FB40" w14:textId="77777777" w:rsidR="0045396C" w:rsidRDefault="00ED19D1" w:rsidP="00ED19D1">
      <w:pPr>
        <w:pStyle w:val="maintext"/>
        <w:ind w:firstLineChars="0" w:firstLine="0"/>
        <w:rPr>
          <w:rFonts w:ascii="Calibri" w:hAnsi="Calibri"/>
        </w:rPr>
      </w:pPr>
      <w:r w:rsidRPr="004E00F8">
        <w:rPr>
          <w:rFonts w:hint="eastAsia"/>
          <w:noProof/>
          <w:lang w:val="en-US" w:eastAsia="zh-CN"/>
        </w:rPr>
        <w:lastRenderedPageBreak/>
        <w:drawing>
          <wp:inline distT="0" distB="0" distL="0" distR="0" wp14:anchorId="6F1E2C80" wp14:editId="20BB4F63">
            <wp:extent cx="4861560" cy="52679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1560" cy="5267960"/>
                    </a:xfrm>
                    <a:prstGeom prst="rect">
                      <a:avLst/>
                    </a:prstGeom>
                    <a:noFill/>
                    <a:ln>
                      <a:noFill/>
                    </a:ln>
                  </pic:spPr>
                </pic:pic>
              </a:graphicData>
            </a:graphic>
          </wp:inline>
        </w:drawing>
      </w:r>
    </w:p>
    <w:p w14:paraId="2D79C574" w14:textId="32FEF6D1" w:rsidR="0045396C" w:rsidRPr="00512677" w:rsidRDefault="0045396C" w:rsidP="0045396C">
      <w:pPr>
        <w:pStyle w:val="TF"/>
        <w:rPr>
          <w:lang w:eastAsia="ko-KR"/>
        </w:rPr>
      </w:pPr>
      <w:r>
        <w:rPr>
          <w:lang w:val="en-US"/>
        </w:rPr>
        <w:t xml:space="preserve">Figure.1 </w:t>
      </w:r>
      <w:r>
        <w:rPr>
          <w:rFonts w:hint="eastAsia"/>
          <w:lang w:val="en-US" w:eastAsia="ko-KR"/>
        </w:rPr>
        <w:t xml:space="preserve">Road configuration for </w:t>
      </w:r>
      <w:r>
        <w:rPr>
          <w:lang w:eastAsia="ko-KR"/>
        </w:rPr>
        <w:t>u</w:t>
      </w:r>
      <w:r>
        <w:rPr>
          <w:rFonts w:hint="eastAsia"/>
          <w:lang w:eastAsia="ko-KR"/>
        </w:rPr>
        <w:t>rban case</w:t>
      </w:r>
      <w:r>
        <w:rPr>
          <w:lang w:eastAsia="ko-KR"/>
        </w:rPr>
        <w:t xml:space="preserve"> (</w:t>
      </w:r>
      <w:r>
        <w:rPr>
          <w:lang w:val="en-US"/>
        </w:rPr>
        <w:t>Figure</w:t>
      </w:r>
      <w:r w:rsidRPr="001002BD">
        <w:rPr>
          <w:lang w:val="en-US"/>
        </w:rPr>
        <w:t xml:space="preserve"> A.</w:t>
      </w:r>
      <w:r>
        <w:rPr>
          <w:rFonts w:hint="eastAsia"/>
          <w:lang w:val="en-US" w:eastAsia="ko-KR"/>
        </w:rPr>
        <w:t>1.2</w:t>
      </w:r>
      <w:r>
        <w:rPr>
          <w:lang w:val="en-US"/>
        </w:rPr>
        <w:t>-1 in TR36.885</w:t>
      </w:r>
      <w:r>
        <w:rPr>
          <w:lang w:eastAsia="ko-KR"/>
        </w:rPr>
        <w:t>)</w:t>
      </w:r>
    </w:p>
    <w:p w14:paraId="029A28DC" w14:textId="3DDB9F44" w:rsidR="00ED19D1" w:rsidRPr="00D020B4" w:rsidRDefault="00ED19D1" w:rsidP="00ED19D1">
      <w:pPr>
        <w:pStyle w:val="maintext"/>
        <w:ind w:firstLineChars="0" w:firstLine="0"/>
        <w:rPr>
          <w:rFonts w:ascii="Calibri" w:hAnsi="Calibri"/>
        </w:rPr>
      </w:pPr>
      <w:r w:rsidRPr="00ED1D27">
        <w:rPr>
          <w:rFonts w:hint="eastAsia"/>
          <w:noProof/>
          <w:lang w:val="en-US" w:eastAsia="zh-CN"/>
        </w:rPr>
        <w:drawing>
          <wp:inline distT="0" distB="0" distL="0" distR="0" wp14:anchorId="67D32CF4" wp14:editId="229E360C">
            <wp:extent cx="6121400" cy="15900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1590040"/>
                    </a:xfrm>
                    <a:prstGeom prst="rect">
                      <a:avLst/>
                    </a:prstGeom>
                    <a:noFill/>
                    <a:ln>
                      <a:noFill/>
                    </a:ln>
                  </pic:spPr>
                </pic:pic>
              </a:graphicData>
            </a:graphic>
          </wp:inline>
        </w:drawing>
      </w:r>
    </w:p>
    <w:p w14:paraId="0EA6E570" w14:textId="495AF2DD" w:rsidR="003E5E6F" w:rsidRPr="00512677" w:rsidRDefault="003E5E6F" w:rsidP="003E5E6F">
      <w:pPr>
        <w:pStyle w:val="TF"/>
        <w:rPr>
          <w:rFonts w:eastAsia="Malgun Gothic"/>
          <w:lang w:eastAsia="ko-KR"/>
        </w:rPr>
      </w:pPr>
      <w:r>
        <w:rPr>
          <w:lang w:val="en-US"/>
        </w:rPr>
        <w:t xml:space="preserve">Figure.1 </w:t>
      </w:r>
      <w:r>
        <w:rPr>
          <w:rFonts w:eastAsia="Malgun Gothic" w:hint="eastAsia"/>
          <w:lang w:val="en-US" w:eastAsia="ko-KR"/>
        </w:rPr>
        <w:t xml:space="preserve">Road configuration for </w:t>
      </w:r>
      <w:r>
        <w:rPr>
          <w:rFonts w:eastAsia="Malgun Gothic"/>
          <w:lang w:eastAsia="ko-KR"/>
        </w:rPr>
        <w:t>f</w:t>
      </w:r>
      <w:r>
        <w:rPr>
          <w:rFonts w:eastAsia="Malgun Gothic" w:hint="eastAsia"/>
          <w:lang w:eastAsia="ko-KR"/>
        </w:rPr>
        <w:t>reeway case</w:t>
      </w:r>
      <w:r>
        <w:rPr>
          <w:rFonts w:eastAsia="Malgun Gothic"/>
          <w:lang w:eastAsia="ko-KR"/>
        </w:rPr>
        <w:t xml:space="preserve"> (</w:t>
      </w:r>
      <w:r>
        <w:rPr>
          <w:lang w:val="en-US"/>
        </w:rPr>
        <w:t>Figure</w:t>
      </w:r>
      <w:r w:rsidRPr="001002BD">
        <w:rPr>
          <w:lang w:val="en-US"/>
        </w:rPr>
        <w:t xml:space="preserve"> A.</w:t>
      </w:r>
      <w:r>
        <w:rPr>
          <w:rFonts w:eastAsia="Malgun Gothic" w:hint="eastAsia"/>
          <w:lang w:val="en-US" w:eastAsia="ko-KR"/>
        </w:rPr>
        <w:t>1.2</w:t>
      </w:r>
      <w:r>
        <w:rPr>
          <w:lang w:val="en-US"/>
        </w:rPr>
        <w:t>-</w:t>
      </w:r>
      <w:r>
        <w:rPr>
          <w:rFonts w:eastAsia="Malgun Gothic" w:hint="eastAsia"/>
          <w:lang w:val="en-US" w:eastAsia="ko-KR"/>
        </w:rPr>
        <w:t>2</w:t>
      </w:r>
      <w:r w:rsidRPr="001002BD">
        <w:rPr>
          <w:lang w:val="en-US"/>
        </w:rPr>
        <w:t>:</w:t>
      </w:r>
      <w:r>
        <w:rPr>
          <w:rFonts w:eastAsia="Malgun Gothic"/>
          <w:lang w:eastAsia="ko-KR"/>
        </w:rPr>
        <w:t>)</w:t>
      </w:r>
    </w:p>
    <w:p w14:paraId="6BCB2788" w14:textId="6D5724B8" w:rsidR="00D020B4" w:rsidRDefault="005E328F" w:rsidP="005B4B08">
      <w:pPr>
        <w:pStyle w:val="maintext"/>
        <w:ind w:firstLineChars="0" w:firstLine="0"/>
        <w:rPr>
          <w:rFonts w:ascii="Calibri" w:hAnsi="Calibri"/>
          <w:b/>
        </w:rPr>
      </w:pPr>
      <w:r>
        <w:rPr>
          <w:rFonts w:ascii="Calibri" w:hAnsi="Calibri"/>
          <w:b/>
        </w:rPr>
        <w:t>Proposal</w:t>
      </w:r>
      <w:r w:rsidR="00A96984">
        <w:rPr>
          <w:rFonts w:ascii="Calibri" w:hAnsi="Calibri"/>
          <w:b/>
        </w:rPr>
        <w:t>-1</w:t>
      </w:r>
      <w:r>
        <w:rPr>
          <w:rFonts w:ascii="Calibri" w:hAnsi="Calibri"/>
          <w:b/>
        </w:rPr>
        <w:t>: R</w:t>
      </w:r>
      <w:r w:rsidR="00DA7BDC">
        <w:rPr>
          <w:rFonts w:ascii="Calibri" w:hAnsi="Calibri"/>
          <w:b/>
        </w:rPr>
        <w:t>euse the scenarios (urban and freeway scenario)</w:t>
      </w:r>
      <w:r w:rsidR="0074095B">
        <w:rPr>
          <w:rFonts w:ascii="Calibri" w:hAnsi="Calibri"/>
          <w:b/>
        </w:rPr>
        <w:t xml:space="preserve"> defined in TR36.885</w:t>
      </w:r>
      <w:r w:rsidR="00DA7BDC">
        <w:rPr>
          <w:rFonts w:ascii="Calibri" w:hAnsi="Calibri"/>
          <w:b/>
        </w:rPr>
        <w:t xml:space="preserve"> in NR V2X evaluation. </w:t>
      </w:r>
    </w:p>
    <w:p w14:paraId="6BB8705C" w14:textId="77777777" w:rsidR="00D020B4" w:rsidRDefault="00D020B4" w:rsidP="005B4B08">
      <w:pPr>
        <w:pStyle w:val="maintext"/>
        <w:ind w:firstLineChars="0" w:firstLine="0"/>
        <w:rPr>
          <w:rFonts w:ascii="Calibri" w:hAnsi="Calibri"/>
          <w:b/>
        </w:rPr>
      </w:pPr>
    </w:p>
    <w:p w14:paraId="64ED8CDF" w14:textId="43289CC8" w:rsidR="00340AFB" w:rsidRDefault="00340AFB" w:rsidP="005B4B08">
      <w:pPr>
        <w:pStyle w:val="maintext"/>
        <w:ind w:firstLineChars="0" w:firstLine="0"/>
        <w:rPr>
          <w:rFonts w:ascii="Calibri" w:hAnsi="Calibri"/>
          <w:b/>
        </w:rPr>
      </w:pPr>
      <w:r>
        <w:rPr>
          <w:rFonts w:ascii="Calibri" w:hAnsi="Calibri"/>
          <w:b/>
        </w:rPr>
        <w:t>Proposal</w:t>
      </w:r>
      <w:r w:rsidR="00A96984">
        <w:rPr>
          <w:rFonts w:ascii="Calibri" w:hAnsi="Calibri"/>
          <w:b/>
        </w:rPr>
        <w:t>-2</w:t>
      </w:r>
      <w:r>
        <w:rPr>
          <w:rFonts w:ascii="Calibri" w:hAnsi="Calibri"/>
          <w:b/>
        </w:rPr>
        <w:t xml:space="preserve">: </w:t>
      </w:r>
      <w:r w:rsidR="005E328F">
        <w:rPr>
          <w:rFonts w:ascii="Calibri" w:hAnsi="Calibri"/>
          <w:b/>
        </w:rPr>
        <w:t xml:space="preserve">Reuse </w:t>
      </w:r>
      <w:r w:rsidRPr="00340AFB">
        <w:rPr>
          <w:rFonts w:ascii="Calibri" w:hAnsi="Calibri"/>
          <w:b/>
        </w:rPr>
        <w:t>performance metric, vehicle dropping, traffic model</w:t>
      </w:r>
      <w:r w:rsidR="00251AD8">
        <w:rPr>
          <w:rFonts w:ascii="Calibri" w:hAnsi="Calibri"/>
          <w:b/>
        </w:rPr>
        <w:t xml:space="preserve"> from TR36.885 in NR V2X evaluation. </w:t>
      </w:r>
    </w:p>
    <w:p w14:paraId="26BD356C" w14:textId="77777777" w:rsidR="0074095B" w:rsidRDefault="0074095B" w:rsidP="005B4B08">
      <w:pPr>
        <w:pStyle w:val="maintext"/>
        <w:ind w:firstLineChars="0" w:firstLine="0"/>
        <w:rPr>
          <w:rFonts w:ascii="Calibri" w:hAnsi="Calibri"/>
          <w:b/>
        </w:rPr>
      </w:pPr>
    </w:p>
    <w:p w14:paraId="0129D964" w14:textId="77777777" w:rsidR="005852D8" w:rsidRDefault="005852D8" w:rsidP="00A97B5A">
      <w:pPr>
        <w:pStyle w:val="maintext"/>
        <w:ind w:firstLineChars="0" w:firstLine="0"/>
        <w:rPr>
          <w:rFonts w:ascii="Calibri" w:hAnsi="Calibri"/>
          <w:lang w:val="en-US"/>
        </w:rPr>
      </w:pPr>
    </w:p>
    <w:p w14:paraId="2C70E38A" w14:textId="04350C33" w:rsidR="00A16245" w:rsidRPr="00A16245" w:rsidRDefault="008C3059" w:rsidP="00A1624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lastRenderedPageBreak/>
        <w:t xml:space="preserve">Simulation </w:t>
      </w:r>
      <w:r w:rsidR="00963D15">
        <w:rPr>
          <w:rFonts w:eastAsia="SimSun"/>
          <w:b w:val="0"/>
          <w:sz w:val="36"/>
          <w:lang w:val="en-GB"/>
        </w:rPr>
        <w:t xml:space="preserve">parameters </w:t>
      </w:r>
    </w:p>
    <w:p w14:paraId="42DE652E" w14:textId="5959FDFD" w:rsidR="00A16245" w:rsidRDefault="00963D15" w:rsidP="00A97B5A">
      <w:pPr>
        <w:pStyle w:val="maintext"/>
        <w:ind w:firstLineChars="0" w:firstLine="0"/>
        <w:rPr>
          <w:rFonts w:ascii="Calibri" w:hAnsi="Calibri"/>
          <w:lang w:val="en-US"/>
        </w:rPr>
      </w:pPr>
      <w:r>
        <w:rPr>
          <w:rFonts w:ascii="Calibri" w:hAnsi="Calibri"/>
          <w:lang w:val="en-US"/>
        </w:rPr>
        <w:t>Different from LTE V2X study, NR V2X study specifically focus on above 6Ghz frequency range. (FR2). While, a plenary email discussion is triggered to identify the regulatory requirements especially the possible band for direct communications between UE. Naturally, it’s best to have NR V2X performance evaluation assume the same band agreed, however, for study point of view, it’s ok to pick a typical frequency in each possible band. Since 63-64Ghz and 76-81 Ghz (required to be considered) are both in 70Ghz range. We propose to use 70Ghz in</w:t>
      </w:r>
      <w:r w:rsidR="003704E6">
        <w:rPr>
          <w:rFonts w:ascii="Calibri" w:hAnsi="Calibri"/>
          <w:lang w:val="en-US"/>
        </w:rPr>
        <w:t xml:space="preserve"> the V2X simulation. Meanwhile, we shall also consider other frequency range, e.g. 30Ghz, in the study to avoid too big gap between below 6Ghz and 70Ghz. </w:t>
      </w:r>
    </w:p>
    <w:p w14:paraId="45ADD8FE" w14:textId="21CA6A27" w:rsidR="003704E6" w:rsidRDefault="003704E6" w:rsidP="00A97B5A">
      <w:pPr>
        <w:pStyle w:val="maintext"/>
        <w:ind w:firstLineChars="0" w:firstLine="0"/>
        <w:rPr>
          <w:rFonts w:ascii="Calibri" w:hAnsi="Calibri"/>
          <w:b/>
          <w:lang w:val="en-US"/>
        </w:rPr>
      </w:pPr>
      <w:r w:rsidRPr="00813ECD">
        <w:rPr>
          <w:rFonts w:ascii="Calibri" w:hAnsi="Calibri"/>
          <w:b/>
          <w:lang w:val="en-US"/>
        </w:rPr>
        <w:t>Proposal</w:t>
      </w:r>
      <w:r w:rsidR="00A96984">
        <w:rPr>
          <w:rFonts w:ascii="Calibri" w:hAnsi="Calibri"/>
          <w:b/>
          <w:lang w:val="en-US"/>
        </w:rPr>
        <w:t>-3</w:t>
      </w:r>
      <w:r w:rsidRPr="00813ECD">
        <w:rPr>
          <w:rFonts w:ascii="Calibri" w:hAnsi="Calibri"/>
          <w:b/>
          <w:lang w:val="en-US"/>
        </w:rPr>
        <w:t xml:space="preserve">: Consider </w:t>
      </w:r>
      <w:r w:rsidR="00A267F9">
        <w:rPr>
          <w:rFonts w:ascii="Calibri" w:hAnsi="Calibri"/>
          <w:b/>
          <w:lang w:val="en-US"/>
        </w:rPr>
        <w:t xml:space="preserve">at least </w:t>
      </w:r>
      <w:r w:rsidRPr="00813ECD">
        <w:rPr>
          <w:rFonts w:ascii="Calibri" w:hAnsi="Calibri"/>
          <w:b/>
          <w:lang w:val="en-US"/>
        </w:rPr>
        <w:t xml:space="preserve">70Ghz, 30Ghz </w:t>
      </w:r>
      <w:r w:rsidR="00317087" w:rsidRPr="00813ECD">
        <w:rPr>
          <w:rFonts w:ascii="Calibri" w:hAnsi="Calibri"/>
          <w:b/>
          <w:lang w:val="en-US"/>
        </w:rPr>
        <w:t xml:space="preserve">as central frequency </w:t>
      </w:r>
      <w:r w:rsidRPr="00813ECD">
        <w:rPr>
          <w:rFonts w:ascii="Calibri" w:hAnsi="Calibri"/>
          <w:b/>
          <w:lang w:val="en-US"/>
        </w:rPr>
        <w:t>in the V2X evaluation</w:t>
      </w:r>
      <w:r w:rsidR="00317087" w:rsidRPr="00813ECD">
        <w:rPr>
          <w:rFonts w:ascii="Calibri" w:hAnsi="Calibri"/>
          <w:b/>
          <w:lang w:val="en-US"/>
        </w:rPr>
        <w:t xml:space="preserve">. </w:t>
      </w:r>
    </w:p>
    <w:p w14:paraId="544CA43F" w14:textId="77777777" w:rsidR="001E74EF" w:rsidRDefault="001E74EF" w:rsidP="00A97B5A">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52BFC3E1" w:rsidR="0054616C" w:rsidRDefault="0054616C" w:rsidP="0054616C">
      <w:pPr>
        <w:pStyle w:val="maintext"/>
        <w:ind w:firstLineChars="0" w:firstLine="0"/>
        <w:rPr>
          <w:rFonts w:ascii="Calibri" w:hAnsi="Calibri"/>
        </w:rPr>
      </w:pPr>
      <w:r>
        <w:rPr>
          <w:rFonts w:ascii="Calibri" w:hAnsi="Calibri"/>
        </w:rPr>
        <w:t xml:space="preserve">In this contribution, we </w:t>
      </w:r>
      <w:r w:rsidR="00A96984">
        <w:rPr>
          <w:rFonts w:ascii="Calibri" w:hAnsi="Calibri"/>
        </w:rPr>
        <w:t>give our view to the V2X evaluation assumptions, in particular, we have the following proposals:</w:t>
      </w:r>
    </w:p>
    <w:p w14:paraId="495E2B8A" w14:textId="072AA6E9" w:rsidR="00A96984" w:rsidRDefault="00A96984" w:rsidP="00A96984">
      <w:pPr>
        <w:pStyle w:val="maintext"/>
        <w:ind w:firstLineChars="0" w:firstLine="0"/>
        <w:rPr>
          <w:rFonts w:ascii="Calibri" w:hAnsi="Calibri"/>
          <w:b/>
        </w:rPr>
      </w:pPr>
      <w:r>
        <w:rPr>
          <w:rFonts w:ascii="Calibri" w:hAnsi="Calibri"/>
          <w:b/>
        </w:rPr>
        <w:t xml:space="preserve">Proposal-1: Reuse the scenarios (urban and freeway scenario) defined in TR36.885 in NR V2X evaluation. </w:t>
      </w:r>
    </w:p>
    <w:p w14:paraId="3CB932F6" w14:textId="77777777" w:rsidR="00A96984" w:rsidRDefault="00A96984" w:rsidP="00A96984">
      <w:pPr>
        <w:pStyle w:val="maintext"/>
        <w:ind w:firstLineChars="0" w:firstLine="0"/>
        <w:rPr>
          <w:rFonts w:ascii="Calibri" w:hAnsi="Calibri"/>
          <w:b/>
        </w:rPr>
      </w:pPr>
      <w:r>
        <w:rPr>
          <w:rFonts w:ascii="Calibri" w:hAnsi="Calibri"/>
          <w:b/>
        </w:rPr>
        <w:t xml:space="preserve">Proposal-2: Reuse </w:t>
      </w:r>
      <w:r w:rsidRPr="00340AFB">
        <w:rPr>
          <w:rFonts w:ascii="Calibri" w:hAnsi="Calibri"/>
          <w:b/>
        </w:rPr>
        <w:t>performance metric, vehicle dropping, traffic model</w:t>
      </w:r>
      <w:r>
        <w:rPr>
          <w:rFonts w:ascii="Calibri" w:hAnsi="Calibri"/>
          <w:b/>
        </w:rPr>
        <w:t xml:space="preserve"> from TR36.885 in NR V2X evaluation. </w:t>
      </w:r>
    </w:p>
    <w:p w14:paraId="11C329E3" w14:textId="77777777" w:rsidR="00A96984" w:rsidRDefault="00A96984" w:rsidP="00A96984">
      <w:pPr>
        <w:pStyle w:val="maintext"/>
        <w:ind w:firstLineChars="0" w:firstLine="0"/>
        <w:rPr>
          <w:rFonts w:ascii="Calibri" w:hAnsi="Calibri"/>
          <w:b/>
          <w:lang w:val="en-US"/>
        </w:rPr>
      </w:pPr>
      <w:r w:rsidRPr="00813ECD">
        <w:rPr>
          <w:rFonts w:ascii="Calibri" w:hAnsi="Calibri"/>
          <w:b/>
          <w:lang w:val="en-US"/>
        </w:rPr>
        <w:t>Proposal</w:t>
      </w:r>
      <w:r>
        <w:rPr>
          <w:rFonts w:ascii="Calibri" w:hAnsi="Calibri"/>
          <w:b/>
          <w:lang w:val="en-US"/>
        </w:rPr>
        <w:t>-3</w:t>
      </w:r>
      <w:r w:rsidRPr="00813ECD">
        <w:rPr>
          <w:rFonts w:ascii="Calibri" w:hAnsi="Calibri"/>
          <w:b/>
          <w:lang w:val="en-US"/>
        </w:rPr>
        <w:t xml:space="preserve">: Consider </w:t>
      </w:r>
      <w:r>
        <w:rPr>
          <w:rFonts w:ascii="Calibri" w:hAnsi="Calibri"/>
          <w:b/>
          <w:lang w:val="en-US"/>
        </w:rPr>
        <w:t xml:space="preserve">at least </w:t>
      </w:r>
      <w:r w:rsidRPr="00813ECD">
        <w:rPr>
          <w:rFonts w:ascii="Calibri" w:hAnsi="Calibri"/>
          <w:b/>
          <w:lang w:val="en-US"/>
        </w:rPr>
        <w:t xml:space="preserve">70Ghz, 30Ghz as central frequency in the V2X evaluation. </w:t>
      </w:r>
    </w:p>
    <w:p w14:paraId="510F2D24" w14:textId="77777777" w:rsidR="00E664F4" w:rsidRPr="00A96984" w:rsidRDefault="00E664F4" w:rsidP="001C2752">
      <w:pPr>
        <w:pStyle w:val="2222"/>
        <w:spacing w:after="120" w:line="288" w:lineRule="auto"/>
        <w:ind w:firstLineChars="0" w:firstLine="0"/>
        <w:rPr>
          <w:rFonts w:cs="Times New Roman"/>
          <w:lang w:val="en-US" w:eastAsia="ko-KR"/>
        </w:rPr>
      </w:pPr>
    </w:p>
    <w:p w14:paraId="0CB11C97" w14:textId="77777777" w:rsidR="00317036" w:rsidRPr="00317036" w:rsidRDefault="00317036"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30828A48" w14:textId="317277EA" w:rsidR="006555DF" w:rsidRDefault="005A0948" w:rsidP="00B33E9A">
      <w:pPr>
        <w:pStyle w:val="2222"/>
        <w:spacing w:after="120" w:line="288" w:lineRule="auto"/>
        <w:ind w:firstLineChars="0" w:firstLine="0"/>
        <w:rPr>
          <w:rFonts w:ascii="Calibri" w:hAnsi="Calibri"/>
          <w:lang w:eastAsia="ko-KR"/>
        </w:rPr>
      </w:pPr>
      <w:bookmarkStart w:id="3" w:name="_Ref498601460"/>
      <w:r>
        <w:rPr>
          <w:rFonts w:ascii="Calibri" w:hAnsi="Calibri"/>
          <w:lang w:eastAsia="ko-KR"/>
        </w:rPr>
        <w:t xml:space="preserve">[1] </w:t>
      </w:r>
      <w:r>
        <w:rPr>
          <w:rFonts w:ascii="Calibri" w:hAnsi="Calibri"/>
          <w:lang w:eastAsia="ko-KR"/>
        </w:rPr>
        <w:tab/>
      </w:r>
      <w:bookmarkEnd w:id="3"/>
      <w:r w:rsidR="00B33E9A">
        <w:rPr>
          <w:rFonts w:ascii="Calibri" w:hAnsi="Calibri"/>
          <w:lang w:eastAsia="ko-KR"/>
        </w:rPr>
        <w:t xml:space="preserve">RP-170837 </w:t>
      </w:r>
      <w:r w:rsidR="00B33E9A" w:rsidRPr="00B33E9A">
        <w:rPr>
          <w:rFonts w:ascii="Calibri" w:hAnsi="Calibri"/>
          <w:lang w:eastAsia="ko-KR"/>
        </w:rPr>
        <w:t>New SI proposal: Study on evaluation methodology of new V2X use cases for LTE and NR</w:t>
      </w:r>
      <w:r w:rsidR="00B33E9A">
        <w:rPr>
          <w:rFonts w:ascii="Calibri" w:hAnsi="Calibri"/>
          <w:lang w:eastAsia="ko-KR"/>
        </w:rPr>
        <w:t>, LGE</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3B9B9" w14:textId="77777777" w:rsidR="00D321FE" w:rsidRDefault="00D321FE" w:rsidP="00424124">
      <w:pPr>
        <w:spacing w:before="0" w:after="0"/>
      </w:pPr>
      <w:r>
        <w:separator/>
      </w:r>
    </w:p>
  </w:endnote>
  <w:endnote w:type="continuationSeparator" w:id="0">
    <w:p w14:paraId="55851653" w14:textId="77777777" w:rsidR="00D321FE" w:rsidRDefault="00D321F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04401" w14:textId="77777777" w:rsidR="00D321FE" w:rsidRDefault="00D321FE" w:rsidP="00424124">
      <w:pPr>
        <w:spacing w:before="0" w:after="0"/>
      </w:pPr>
      <w:r>
        <w:separator/>
      </w:r>
    </w:p>
  </w:footnote>
  <w:footnote w:type="continuationSeparator" w:id="0">
    <w:p w14:paraId="13C544F6" w14:textId="77777777" w:rsidR="00D321FE" w:rsidRDefault="00D321FE"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8"/>
  </w:num>
  <w:num w:numId="4">
    <w:abstractNumId w:val="6"/>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375F"/>
    <w:rsid w:val="00046BC3"/>
    <w:rsid w:val="00051B4B"/>
    <w:rsid w:val="00054618"/>
    <w:rsid w:val="00054EAD"/>
    <w:rsid w:val="000550BC"/>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785E"/>
    <w:rsid w:val="000D02F7"/>
    <w:rsid w:val="000E2254"/>
    <w:rsid w:val="000E2603"/>
    <w:rsid w:val="000E29D8"/>
    <w:rsid w:val="000E4D11"/>
    <w:rsid w:val="000E51EC"/>
    <w:rsid w:val="000E714A"/>
    <w:rsid w:val="000F1DCA"/>
    <w:rsid w:val="000F6995"/>
    <w:rsid w:val="0010303E"/>
    <w:rsid w:val="00106F62"/>
    <w:rsid w:val="0011327D"/>
    <w:rsid w:val="00116DA6"/>
    <w:rsid w:val="00116E27"/>
    <w:rsid w:val="0012156D"/>
    <w:rsid w:val="001341CC"/>
    <w:rsid w:val="00134C08"/>
    <w:rsid w:val="001356E5"/>
    <w:rsid w:val="0014006B"/>
    <w:rsid w:val="001417A8"/>
    <w:rsid w:val="00143A0C"/>
    <w:rsid w:val="001470A1"/>
    <w:rsid w:val="001526E1"/>
    <w:rsid w:val="00152CF8"/>
    <w:rsid w:val="00153793"/>
    <w:rsid w:val="00172743"/>
    <w:rsid w:val="001766B8"/>
    <w:rsid w:val="0017741C"/>
    <w:rsid w:val="0019255B"/>
    <w:rsid w:val="001A1BC0"/>
    <w:rsid w:val="001A303A"/>
    <w:rsid w:val="001A5921"/>
    <w:rsid w:val="001A6212"/>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E74EF"/>
    <w:rsid w:val="001F385C"/>
    <w:rsid w:val="001F59ED"/>
    <w:rsid w:val="001F5A74"/>
    <w:rsid w:val="001F5EB6"/>
    <w:rsid w:val="001F7939"/>
    <w:rsid w:val="002001F1"/>
    <w:rsid w:val="00201958"/>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E06"/>
    <w:rsid w:val="00262116"/>
    <w:rsid w:val="00264501"/>
    <w:rsid w:val="00265011"/>
    <w:rsid w:val="002670F8"/>
    <w:rsid w:val="00267362"/>
    <w:rsid w:val="00270C24"/>
    <w:rsid w:val="002725E8"/>
    <w:rsid w:val="00272EC2"/>
    <w:rsid w:val="002739AB"/>
    <w:rsid w:val="00273B2A"/>
    <w:rsid w:val="002832A5"/>
    <w:rsid w:val="00283961"/>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6EC9"/>
    <w:rsid w:val="002D787B"/>
    <w:rsid w:val="002E28F4"/>
    <w:rsid w:val="002E348C"/>
    <w:rsid w:val="002E62A8"/>
    <w:rsid w:val="002E670E"/>
    <w:rsid w:val="002F4447"/>
    <w:rsid w:val="002F4C92"/>
    <w:rsid w:val="003015F7"/>
    <w:rsid w:val="003044B6"/>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A298A"/>
    <w:rsid w:val="003A3331"/>
    <w:rsid w:val="003A52ED"/>
    <w:rsid w:val="003A566A"/>
    <w:rsid w:val="003B1EC9"/>
    <w:rsid w:val="003B2F27"/>
    <w:rsid w:val="003B625D"/>
    <w:rsid w:val="003B68E5"/>
    <w:rsid w:val="003C19B8"/>
    <w:rsid w:val="003C5D68"/>
    <w:rsid w:val="003D0F6E"/>
    <w:rsid w:val="003D1148"/>
    <w:rsid w:val="003E1304"/>
    <w:rsid w:val="003E39BB"/>
    <w:rsid w:val="003E3C2B"/>
    <w:rsid w:val="003E5E6F"/>
    <w:rsid w:val="003E7121"/>
    <w:rsid w:val="003F0731"/>
    <w:rsid w:val="003F33B4"/>
    <w:rsid w:val="003F3579"/>
    <w:rsid w:val="003F7ED1"/>
    <w:rsid w:val="00401F8F"/>
    <w:rsid w:val="00405F6D"/>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780D"/>
    <w:rsid w:val="004D7CF8"/>
    <w:rsid w:val="004E1D73"/>
    <w:rsid w:val="004E55E0"/>
    <w:rsid w:val="004E566A"/>
    <w:rsid w:val="004E5DA6"/>
    <w:rsid w:val="004E6BC0"/>
    <w:rsid w:val="004E6D3B"/>
    <w:rsid w:val="004F5F57"/>
    <w:rsid w:val="005025C4"/>
    <w:rsid w:val="005055A6"/>
    <w:rsid w:val="00506906"/>
    <w:rsid w:val="00507060"/>
    <w:rsid w:val="00510557"/>
    <w:rsid w:val="005116E0"/>
    <w:rsid w:val="0051179B"/>
    <w:rsid w:val="00514C34"/>
    <w:rsid w:val="00520A47"/>
    <w:rsid w:val="00520FC8"/>
    <w:rsid w:val="00523623"/>
    <w:rsid w:val="00537C70"/>
    <w:rsid w:val="00543ED4"/>
    <w:rsid w:val="005448C6"/>
    <w:rsid w:val="0054616C"/>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321E"/>
    <w:rsid w:val="0059365E"/>
    <w:rsid w:val="005A0529"/>
    <w:rsid w:val="005A0948"/>
    <w:rsid w:val="005B1400"/>
    <w:rsid w:val="005B276A"/>
    <w:rsid w:val="005B47BD"/>
    <w:rsid w:val="005B4B08"/>
    <w:rsid w:val="005B6FA6"/>
    <w:rsid w:val="005C4B5C"/>
    <w:rsid w:val="005D0964"/>
    <w:rsid w:val="005D2C51"/>
    <w:rsid w:val="005D380C"/>
    <w:rsid w:val="005D4116"/>
    <w:rsid w:val="005E328F"/>
    <w:rsid w:val="005E4B33"/>
    <w:rsid w:val="005E59D1"/>
    <w:rsid w:val="005E76AF"/>
    <w:rsid w:val="005F10B2"/>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4B6D"/>
    <w:rsid w:val="00695822"/>
    <w:rsid w:val="006A0EDC"/>
    <w:rsid w:val="006A2D2E"/>
    <w:rsid w:val="006A2F4B"/>
    <w:rsid w:val="006A3E35"/>
    <w:rsid w:val="006C07D0"/>
    <w:rsid w:val="006C452E"/>
    <w:rsid w:val="006C7299"/>
    <w:rsid w:val="006D1E33"/>
    <w:rsid w:val="006D25D0"/>
    <w:rsid w:val="006D40EA"/>
    <w:rsid w:val="006D44F3"/>
    <w:rsid w:val="006E3FF0"/>
    <w:rsid w:val="006E790B"/>
    <w:rsid w:val="006F055C"/>
    <w:rsid w:val="006F1CB0"/>
    <w:rsid w:val="007053A4"/>
    <w:rsid w:val="00707BF0"/>
    <w:rsid w:val="00707D20"/>
    <w:rsid w:val="007138FE"/>
    <w:rsid w:val="00721AD7"/>
    <w:rsid w:val="007225EF"/>
    <w:rsid w:val="00722BA6"/>
    <w:rsid w:val="00723DC5"/>
    <w:rsid w:val="00724BFB"/>
    <w:rsid w:val="00724D9F"/>
    <w:rsid w:val="00727952"/>
    <w:rsid w:val="00733614"/>
    <w:rsid w:val="007338D6"/>
    <w:rsid w:val="0073612D"/>
    <w:rsid w:val="00736C50"/>
    <w:rsid w:val="0074095B"/>
    <w:rsid w:val="00740B36"/>
    <w:rsid w:val="00747A6F"/>
    <w:rsid w:val="0075260C"/>
    <w:rsid w:val="00752E62"/>
    <w:rsid w:val="00754F88"/>
    <w:rsid w:val="0075622F"/>
    <w:rsid w:val="0076067D"/>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8007CC"/>
    <w:rsid w:val="0080125A"/>
    <w:rsid w:val="0080641A"/>
    <w:rsid w:val="00811A1B"/>
    <w:rsid w:val="00813ECD"/>
    <w:rsid w:val="00816522"/>
    <w:rsid w:val="00824DED"/>
    <w:rsid w:val="00826E5A"/>
    <w:rsid w:val="00836669"/>
    <w:rsid w:val="00837F53"/>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D1AEF"/>
    <w:rsid w:val="008D2CEA"/>
    <w:rsid w:val="008E6B52"/>
    <w:rsid w:val="008E7BE4"/>
    <w:rsid w:val="008F1DE1"/>
    <w:rsid w:val="008F2066"/>
    <w:rsid w:val="008F2D09"/>
    <w:rsid w:val="0090219C"/>
    <w:rsid w:val="009052CA"/>
    <w:rsid w:val="009121FD"/>
    <w:rsid w:val="00912D25"/>
    <w:rsid w:val="00915D0F"/>
    <w:rsid w:val="00915E3A"/>
    <w:rsid w:val="009211A7"/>
    <w:rsid w:val="0092403B"/>
    <w:rsid w:val="0092430D"/>
    <w:rsid w:val="00925FA2"/>
    <w:rsid w:val="00926A9C"/>
    <w:rsid w:val="00927803"/>
    <w:rsid w:val="00931959"/>
    <w:rsid w:val="00945A1B"/>
    <w:rsid w:val="00947FB1"/>
    <w:rsid w:val="00951527"/>
    <w:rsid w:val="009564A2"/>
    <w:rsid w:val="009578A5"/>
    <w:rsid w:val="00957CD1"/>
    <w:rsid w:val="00961DB2"/>
    <w:rsid w:val="0096246D"/>
    <w:rsid w:val="009633A9"/>
    <w:rsid w:val="0096355C"/>
    <w:rsid w:val="00963D15"/>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46C1"/>
    <w:rsid w:val="009D6B01"/>
    <w:rsid w:val="009E0D02"/>
    <w:rsid w:val="009E2300"/>
    <w:rsid w:val="009E3A88"/>
    <w:rsid w:val="009E41FF"/>
    <w:rsid w:val="009E5838"/>
    <w:rsid w:val="009E5FF7"/>
    <w:rsid w:val="009E6CF7"/>
    <w:rsid w:val="009F0907"/>
    <w:rsid w:val="009F501E"/>
    <w:rsid w:val="009F768E"/>
    <w:rsid w:val="00A01AF0"/>
    <w:rsid w:val="00A10442"/>
    <w:rsid w:val="00A11704"/>
    <w:rsid w:val="00A11840"/>
    <w:rsid w:val="00A16245"/>
    <w:rsid w:val="00A16736"/>
    <w:rsid w:val="00A167FA"/>
    <w:rsid w:val="00A22C61"/>
    <w:rsid w:val="00A244B9"/>
    <w:rsid w:val="00A247AB"/>
    <w:rsid w:val="00A262E4"/>
    <w:rsid w:val="00A267F9"/>
    <w:rsid w:val="00A345B8"/>
    <w:rsid w:val="00A36A83"/>
    <w:rsid w:val="00A400E3"/>
    <w:rsid w:val="00A40509"/>
    <w:rsid w:val="00A41CF3"/>
    <w:rsid w:val="00A42D63"/>
    <w:rsid w:val="00A44394"/>
    <w:rsid w:val="00A4674D"/>
    <w:rsid w:val="00A55FF3"/>
    <w:rsid w:val="00A57808"/>
    <w:rsid w:val="00A603CE"/>
    <w:rsid w:val="00A60A9B"/>
    <w:rsid w:val="00A645BE"/>
    <w:rsid w:val="00A64CF7"/>
    <w:rsid w:val="00A66A04"/>
    <w:rsid w:val="00A671C9"/>
    <w:rsid w:val="00A717FF"/>
    <w:rsid w:val="00A73884"/>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4431"/>
    <w:rsid w:val="00AD4E88"/>
    <w:rsid w:val="00AD5332"/>
    <w:rsid w:val="00AD6C53"/>
    <w:rsid w:val="00AD7652"/>
    <w:rsid w:val="00AE3E59"/>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52949"/>
    <w:rsid w:val="00B53500"/>
    <w:rsid w:val="00B535BA"/>
    <w:rsid w:val="00B55A9E"/>
    <w:rsid w:val="00B56429"/>
    <w:rsid w:val="00B61A13"/>
    <w:rsid w:val="00B633E5"/>
    <w:rsid w:val="00B6467D"/>
    <w:rsid w:val="00B648CA"/>
    <w:rsid w:val="00B70E08"/>
    <w:rsid w:val="00B74894"/>
    <w:rsid w:val="00B801DE"/>
    <w:rsid w:val="00B82B83"/>
    <w:rsid w:val="00B86398"/>
    <w:rsid w:val="00B87D25"/>
    <w:rsid w:val="00B909F7"/>
    <w:rsid w:val="00B9666C"/>
    <w:rsid w:val="00B96A24"/>
    <w:rsid w:val="00BA2D94"/>
    <w:rsid w:val="00BA677D"/>
    <w:rsid w:val="00BB1877"/>
    <w:rsid w:val="00BB26FF"/>
    <w:rsid w:val="00BB280E"/>
    <w:rsid w:val="00BB5842"/>
    <w:rsid w:val="00BC1F91"/>
    <w:rsid w:val="00BC204D"/>
    <w:rsid w:val="00BC2FF6"/>
    <w:rsid w:val="00BC6F83"/>
    <w:rsid w:val="00BC7580"/>
    <w:rsid w:val="00BD211A"/>
    <w:rsid w:val="00BD34B4"/>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314D2"/>
    <w:rsid w:val="00C32973"/>
    <w:rsid w:val="00C3522B"/>
    <w:rsid w:val="00C415AB"/>
    <w:rsid w:val="00C452CB"/>
    <w:rsid w:val="00C45797"/>
    <w:rsid w:val="00C46000"/>
    <w:rsid w:val="00C47DAE"/>
    <w:rsid w:val="00C47EE0"/>
    <w:rsid w:val="00C51BB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F482C"/>
    <w:rsid w:val="00D020B4"/>
    <w:rsid w:val="00D029C0"/>
    <w:rsid w:val="00D100FB"/>
    <w:rsid w:val="00D1137D"/>
    <w:rsid w:val="00D1137F"/>
    <w:rsid w:val="00D12AF3"/>
    <w:rsid w:val="00D1374D"/>
    <w:rsid w:val="00D23CDC"/>
    <w:rsid w:val="00D268EB"/>
    <w:rsid w:val="00D274C6"/>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7D55"/>
    <w:rsid w:val="00D701D3"/>
    <w:rsid w:val="00D71C8E"/>
    <w:rsid w:val="00D73F95"/>
    <w:rsid w:val="00D7445F"/>
    <w:rsid w:val="00D76AD9"/>
    <w:rsid w:val="00D76B3C"/>
    <w:rsid w:val="00D81533"/>
    <w:rsid w:val="00D83A71"/>
    <w:rsid w:val="00D87B02"/>
    <w:rsid w:val="00D906D7"/>
    <w:rsid w:val="00D92B1D"/>
    <w:rsid w:val="00D93476"/>
    <w:rsid w:val="00D97CD4"/>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7711"/>
    <w:rsid w:val="00DF13AD"/>
    <w:rsid w:val="00DF6137"/>
    <w:rsid w:val="00E03CCA"/>
    <w:rsid w:val="00E0526B"/>
    <w:rsid w:val="00E05A7B"/>
    <w:rsid w:val="00E13146"/>
    <w:rsid w:val="00E14876"/>
    <w:rsid w:val="00E14FE2"/>
    <w:rsid w:val="00E167BF"/>
    <w:rsid w:val="00E174FC"/>
    <w:rsid w:val="00E20070"/>
    <w:rsid w:val="00E20994"/>
    <w:rsid w:val="00E20B90"/>
    <w:rsid w:val="00E22124"/>
    <w:rsid w:val="00E22403"/>
    <w:rsid w:val="00E261AD"/>
    <w:rsid w:val="00E324C0"/>
    <w:rsid w:val="00E334E3"/>
    <w:rsid w:val="00E34E85"/>
    <w:rsid w:val="00E37838"/>
    <w:rsid w:val="00E40344"/>
    <w:rsid w:val="00E45351"/>
    <w:rsid w:val="00E54E21"/>
    <w:rsid w:val="00E576BD"/>
    <w:rsid w:val="00E57BE9"/>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D19D1"/>
    <w:rsid w:val="00ED3375"/>
    <w:rsid w:val="00EE1022"/>
    <w:rsid w:val="00EE2722"/>
    <w:rsid w:val="00EE3077"/>
    <w:rsid w:val="00EE4A18"/>
    <w:rsid w:val="00EF54A5"/>
    <w:rsid w:val="00EF61D1"/>
    <w:rsid w:val="00EF7466"/>
    <w:rsid w:val="00F03579"/>
    <w:rsid w:val="00F148FE"/>
    <w:rsid w:val="00F154D0"/>
    <w:rsid w:val="00F165B3"/>
    <w:rsid w:val="00F1674C"/>
    <w:rsid w:val="00F2099F"/>
    <w:rsid w:val="00F261D6"/>
    <w:rsid w:val="00F26DCC"/>
    <w:rsid w:val="00F33B86"/>
    <w:rsid w:val="00F350AF"/>
    <w:rsid w:val="00F35911"/>
    <w:rsid w:val="00F377FF"/>
    <w:rsid w:val="00F41E7B"/>
    <w:rsid w:val="00F42D43"/>
    <w:rsid w:val="00F459E5"/>
    <w:rsid w:val="00F5591D"/>
    <w:rsid w:val="00F56287"/>
    <w:rsid w:val="00F57965"/>
    <w:rsid w:val="00F57B33"/>
    <w:rsid w:val="00F616D8"/>
    <w:rsid w:val="00F652AC"/>
    <w:rsid w:val="00F72B1B"/>
    <w:rsid w:val="00F753A3"/>
    <w:rsid w:val="00F77E12"/>
    <w:rsid w:val="00F814DE"/>
    <w:rsid w:val="00F859D4"/>
    <w:rsid w:val="00F86912"/>
    <w:rsid w:val="00F90045"/>
    <w:rsid w:val="00F925FE"/>
    <w:rsid w:val="00FA01A3"/>
    <w:rsid w:val="00FA1378"/>
    <w:rsid w:val="00FA156F"/>
    <w:rsid w:val="00FA28D1"/>
    <w:rsid w:val="00FA5D82"/>
    <w:rsid w:val="00FA6558"/>
    <w:rsid w:val="00FA72F0"/>
    <w:rsid w:val="00FB0309"/>
    <w:rsid w:val="00FB0655"/>
    <w:rsid w:val="00FB3696"/>
    <w:rsid w:val="00FB72BC"/>
    <w:rsid w:val="00FD489B"/>
    <w:rsid w:val="00FD530D"/>
    <w:rsid w:val="00FE0217"/>
    <w:rsid w:val="00FE09FC"/>
    <w:rsid w:val="00FE2FF2"/>
    <w:rsid w:val="00FE3D1A"/>
    <w:rsid w:val="00FE4C4C"/>
    <w:rsid w:val="00FE6C15"/>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4D9E9-B8F5-4C65-8FA0-72C655AA2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2018-02-16T03:58:00Z</dcterms:modified>
</cp:coreProperties>
</file>